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583F6FD0" w:rsidR="00116B51" w:rsidRPr="00DA12F7" w:rsidRDefault="00116B51" w:rsidP="00116B51">
      <w:pPr>
        <w:tabs>
          <w:tab w:val="right" w:pos="9630"/>
        </w:tabs>
        <w:spacing w:after="0"/>
      </w:pPr>
      <w:r w:rsidRPr="00DA12F7">
        <w:rPr>
          <w:rFonts w:ascii="Arial" w:hAnsi="Arial" w:cs="Arial"/>
          <w:b/>
          <w:sz w:val="24"/>
        </w:rPr>
        <w:t>3GPP TSG RAN WG1 #</w:t>
      </w:r>
      <w:r w:rsidR="008E6FCF">
        <w:rPr>
          <w:rFonts w:ascii="Arial" w:hAnsi="Arial" w:cs="Arial"/>
          <w:b/>
          <w:sz w:val="24"/>
        </w:rPr>
        <w:t>93</w:t>
      </w:r>
      <w:r w:rsidRPr="00DA12F7">
        <w:rPr>
          <w:rFonts w:ascii="Arial" w:hAnsi="Arial" w:cs="Arial"/>
          <w:b/>
          <w:sz w:val="24"/>
        </w:rPr>
        <w:tab/>
      </w:r>
      <w:r w:rsidR="00127431" w:rsidRPr="00127431">
        <w:rPr>
          <w:rFonts w:ascii="Arial" w:hAnsi="Arial" w:cs="Arial"/>
          <w:b/>
          <w:sz w:val="24"/>
        </w:rPr>
        <w:t>R1-</w:t>
      </w:r>
      <w:r w:rsidR="00153DB4" w:rsidRPr="00153DB4">
        <w:t xml:space="preserve"> </w:t>
      </w:r>
      <w:r w:rsidR="00153DB4" w:rsidRPr="00153DB4">
        <w:rPr>
          <w:rFonts w:ascii="Arial" w:hAnsi="Arial" w:cs="Arial"/>
          <w:b/>
          <w:sz w:val="24"/>
        </w:rPr>
        <w:t>18</w:t>
      </w:r>
      <w:r w:rsidR="00F13400">
        <w:rPr>
          <w:rFonts w:ascii="Arial" w:hAnsi="Arial" w:cs="Arial"/>
          <w:b/>
          <w:sz w:val="24"/>
        </w:rPr>
        <w:t>071</w:t>
      </w:r>
      <w:r w:rsidR="00D2230B">
        <w:rPr>
          <w:rFonts w:ascii="Arial" w:hAnsi="Arial" w:cs="Arial"/>
          <w:b/>
          <w:sz w:val="24"/>
        </w:rPr>
        <w:t>22</w:t>
      </w:r>
    </w:p>
    <w:p w14:paraId="50FFBAF8" w14:textId="0ED67218" w:rsidR="00116B51" w:rsidRPr="00DA12F7" w:rsidRDefault="008E6FCF" w:rsidP="008E6FCF">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834182">
        <w:rPr>
          <w:rFonts w:ascii="Arial" w:hAnsi="Arial" w:cs="Arial"/>
          <w:b/>
          <w:sz w:val="24"/>
          <w:szCs w:val="24"/>
        </w:rPr>
        <w:t xml:space="preserve"> </w:t>
      </w:r>
      <w:r w:rsidR="00FA436E">
        <w:rPr>
          <w:rFonts w:ascii="Arial" w:hAnsi="Arial" w:cs="Arial"/>
          <w:b/>
          <w:sz w:val="24"/>
          <w:szCs w:val="24"/>
        </w:rPr>
        <w:t xml:space="preserve">– </w:t>
      </w:r>
      <w:r w:rsidR="00A90273">
        <w:rPr>
          <w:rFonts w:ascii="Arial" w:hAnsi="Arial" w:cs="Arial"/>
          <w:b/>
          <w:sz w:val="24"/>
          <w:szCs w:val="24"/>
        </w:rPr>
        <w:t>2</w:t>
      </w:r>
      <w:r>
        <w:rPr>
          <w:rFonts w:ascii="Arial" w:hAnsi="Arial" w:cs="Arial"/>
          <w:b/>
          <w:sz w:val="24"/>
          <w:szCs w:val="24"/>
        </w:rPr>
        <w:t>5</w:t>
      </w:r>
      <w:r w:rsidR="008B7EA8">
        <w:rPr>
          <w:rFonts w:ascii="Arial" w:hAnsi="Arial" w:cs="Arial"/>
          <w:b/>
          <w:sz w:val="24"/>
          <w:szCs w:val="24"/>
          <w:vertAlign w:val="superscript"/>
        </w:rPr>
        <w:t>th</w:t>
      </w:r>
      <w:r w:rsidR="00116B51" w:rsidRPr="00DA12F7">
        <w:rPr>
          <w:rFonts w:ascii="Arial" w:hAnsi="Arial" w:cs="Arial"/>
          <w:b/>
          <w:sz w:val="24"/>
          <w:szCs w:val="24"/>
        </w:rPr>
        <w:t>, 201</w:t>
      </w:r>
      <w:r w:rsidR="00A90273">
        <w:rPr>
          <w:rFonts w:ascii="Arial" w:hAnsi="Arial" w:cs="Arial"/>
          <w:b/>
          <w:sz w:val="24"/>
          <w:szCs w:val="24"/>
        </w:rPr>
        <w:t>8</w:t>
      </w:r>
    </w:p>
    <w:p w14:paraId="7DB4A2F8" w14:textId="713A70BB" w:rsidR="00116B51" w:rsidRPr="00DA12F7" w:rsidRDefault="008E6FCF" w:rsidP="00116B51">
      <w:pPr>
        <w:rPr>
          <w:rFonts w:ascii="Arial" w:hAnsi="Arial" w:cs="Arial"/>
          <w:b/>
          <w:sz w:val="24"/>
          <w:szCs w:val="24"/>
        </w:rPr>
      </w:pPr>
      <w:r>
        <w:rPr>
          <w:rFonts w:ascii="Arial" w:hAnsi="Arial" w:cs="Arial"/>
          <w:b/>
          <w:sz w:val="24"/>
          <w:szCs w:val="24"/>
        </w:rPr>
        <w:t>Busan, South Korea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26E1CB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B7EA8">
        <w:rPr>
          <w:rFonts w:ascii="Arial" w:hAnsi="Arial"/>
          <w:sz w:val="24"/>
        </w:rPr>
        <w:t>8</w:t>
      </w:r>
      <w:r w:rsidR="000E38F6">
        <w:rPr>
          <w:rFonts w:ascii="Arial" w:hAnsi="Arial"/>
          <w:sz w:val="24"/>
        </w:rPr>
        <w:t>.</w:t>
      </w:r>
      <w:r w:rsidR="00D2230B">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61F93A2"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2230B">
        <w:rPr>
          <w:rFonts w:ascii="Arial" w:hAnsi="Arial"/>
          <w:sz w:val="24"/>
        </w:rPr>
        <w:t xml:space="preserve">Repetition Enhancements for UL SPS Operation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2A66054F" w14:textId="5A75588C" w:rsidR="008E6FCF" w:rsidRDefault="00385747" w:rsidP="008B7EA8">
      <w:pPr>
        <w:jc w:val="both"/>
      </w:pPr>
      <w:r>
        <w:t xml:space="preserve">During the RAN1 #92, the following agreements were reach: </w:t>
      </w:r>
    </w:p>
    <w:p w14:paraId="77493920" w14:textId="77777777" w:rsidR="00385747" w:rsidRPr="00385747" w:rsidRDefault="00385747" w:rsidP="00385747">
      <w:pPr>
        <w:pStyle w:val="BodyText"/>
        <w:rPr>
          <w:b/>
          <w:bCs/>
          <w:u w:val="single"/>
        </w:rPr>
      </w:pPr>
      <w:r w:rsidRPr="00385747">
        <w:rPr>
          <w:b/>
          <w:bCs/>
          <w:highlight w:val="green"/>
          <w:u w:val="single"/>
        </w:rPr>
        <w:t>Agreements:</w:t>
      </w:r>
    </w:p>
    <w:p w14:paraId="4F2169E6" w14:textId="77777777" w:rsidR="00385747" w:rsidRPr="00385747" w:rsidRDefault="00385747" w:rsidP="00385747">
      <w:pPr>
        <w:pStyle w:val="BodyText"/>
        <w:rPr>
          <w:i/>
          <w:iCs/>
        </w:rPr>
      </w:pPr>
      <w:r w:rsidRPr="00385747">
        <w:rPr>
          <w:i/>
          <w:iCs/>
        </w:rPr>
        <w:t>For LTE URLLC operation, at least an UL SPS repetition configuration is supported where a UE can start the initial transmission of a TB at any (s)TTI</w:t>
      </w:r>
    </w:p>
    <w:p w14:paraId="615C0AAB" w14:textId="1CFC5A73" w:rsidR="008E6FCF" w:rsidRDefault="008E6FCF" w:rsidP="008B7EA8">
      <w:pPr>
        <w:jc w:val="both"/>
      </w:pPr>
    </w:p>
    <w:p w14:paraId="67B875FE" w14:textId="77777777" w:rsidR="00385747" w:rsidRPr="00385747" w:rsidRDefault="00385747" w:rsidP="00385747">
      <w:pPr>
        <w:pStyle w:val="BodyText"/>
        <w:rPr>
          <w:b/>
          <w:bCs/>
          <w:u w:val="single"/>
        </w:rPr>
      </w:pPr>
      <w:r w:rsidRPr="00385747">
        <w:rPr>
          <w:b/>
          <w:bCs/>
          <w:highlight w:val="green"/>
          <w:u w:val="single"/>
        </w:rPr>
        <w:t>Agreement:</w:t>
      </w:r>
    </w:p>
    <w:p w14:paraId="2A937741" w14:textId="77777777" w:rsidR="00385747" w:rsidRPr="00385747" w:rsidRDefault="00385747" w:rsidP="00385747">
      <w:pPr>
        <w:pStyle w:val="BodyText"/>
        <w:rPr>
          <w:i/>
          <w:iCs/>
        </w:rPr>
      </w:pPr>
      <w:r w:rsidRPr="00385747">
        <w:rPr>
          <w:i/>
          <w:iCs/>
        </w:rPr>
        <w:t>RAN1 should strive to design a UL SPS repetition scheme where the number of repetitions K is guaranteed under certain conditions related to collision with e.g. new data arrival or scheduled PUSCH. The so far identified issues to solve are:</w:t>
      </w:r>
    </w:p>
    <w:p w14:paraId="7652B441" w14:textId="77777777" w:rsidR="00385747" w:rsidRPr="00385747" w:rsidRDefault="00385747" w:rsidP="00385747">
      <w:pPr>
        <w:pStyle w:val="BodyText"/>
        <w:numPr>
          <w:ilvl w:val="0"/>
          <w:numId w:val="8"/>
        </w:numPr>
        <w:overflowPunct/>
        <w:autoSpaceDE/>
        <w:autoSpaceDN/>
        <w:adjustRightInd/>
        <w:textAlignment w:val="auto"/>
        <w:rPr>
          <w:i/>
          <w:iCs/>
          <w:szCs w:val="22"/>
          <w:lang w:eastAsia="zh-CN"/>
        </w:rPr>
      </w:pPr>
      <w:r w:rsidRPr="00385747">
        <w:rPr>
          <w:i/>
          <w:iCs/>
          <w:szCs w:val="22"/>
          <w:lang w:eastAsia="zh-CN"/>
        </w:rPr>
        <w:t>Ambiguity of HARQ process between eNB and UE and reception performance because eNB may not know if the received transmission is the first transmission of a new TB or a repetition of a previous TB</w:t>
      </w:r>
    </w:p>
    <w:p w14:paraId="5DDA11EE" w14:textId="77777777" w:rsidR="00385747" w:rsidRPr="00385747" w:rsidRDefault="00385747" w:rsidP="00385747">
      <w:pPr>
        <w:pStyle w:val="BodyText"/>
        <w:numPr>
          <w:ilvl w:val="0"/>
          <w:numId w:val="8"/>
        </w:numPr>
        <w:overflowPunct/>
        <w:autoSpaceDE/>
        <w:autoSpaceDN/>
        <w:adjustRightInd/>
        <w:textAlignment w:val="auto"/>
        <w:rPr>
          <w:i/>
          <w:iCs/>
          <w:szCs w:val="22"/>
          <w:lang w:eastAsia="zh-CN"/>
        </w:rPr>
      </w:pPr>
      <w:r w:rsidRPr="00385747">
        <w:rPr>
          <w:i/>
          <w:iCs/>
          <w:szCs w:val="22"/>
          <w:lang w:eastAsia="zh-CN"/>
        </w:rPr>
        <w:t>Phase continuity when transmitting SRS or when crossing the subframe boundary</w:t>
      </w:r>
    </w:p>
    <w:p w14:paraId="1826A05B" w14:textId="109A4B3B" w:rsidR="008F5043" w:rsidRDefault="008F5043" w:rsidP="008B7EA8">
      <w:pPr>
        <w:jc w:val="both"/>
      </w:pPr>
    </w:p>
    <w:p w14:paraId="0A44BEF9" w14:textId="0F8F2692" w:rsidR="00385747" w:rsidRDefault="00385747" w:rsidP="008B7EA8">
      <w:pPr>
        <w:jc w:val="both"/>
      </w:pPr>
      <w:r>
        <w:t>The</w:t>
      </w:r>
      <w:r w:rsidR="00D5489C">
        <w:t>n</w:t>
      </w:r>
      <w:r>
        <w:t>, during the offline discussions of RAN1#92b, the following three solutions were identified in order to support the repetition based SPS for UL URLLC:</w:t>
      </w:r>
    </w:p>
    <w:p w14:paraId="3B0A15FF" w14:textId="2B5392DA" w:rsidR="00385747" w:rsidRDefault="00385747" w:rsidP="008B7EA8">
      <w:pPr>
        <w:jc w:val="both"/>
        <w:rPr>
          <w:b/>
          <w:bCs/>
          <w:u w:val="single"/>
        </w:rPr>
      </w:pPr>
      <w:r w:rsidRPr="00385747">
        <w:rPr>
          <w:b/>
          <w:bCs/>
          <w:highlight w:val="yellow"/>
          <w:u w:val="single"/>
        </w:rPr>
        <w:t>Solution 1:</w:t>
      </w:r>
    </w:p>
    <w:p w14:paraId="4035848B" w14:textId="296DB6DF" w:rsidR="00C473F4" w:rsidRDefault="00C473F4" w:rsidP="008B7EA8">
      <w:pPr>
        <w:jc w:val="both"/>
      </w:pPr>
      <w:r w:rsidRPr="00C473F4">
        <w:t>Repetition windows are defined by a fixed periodicity of duration P. Within each periodicity window, a transmission occasion of size K is defined. The initial transmission can only be started at the beginning of a given occasion.</w:t>
      </w:r>
    </w:p>
    <w:p w14:paraId="710D46FA" w14:textId="1427CBAC" w:rsidR="00C473F4" w:rsidRPr="00C473F4" w:rsidRDefault="00C473F4" w:rsidP="00C473F4">
      <w:pPr>
        <w:pStyle w:val="ListParagraph"/>
        <w:numPr>
          <w:ilvl w:val="0"/>
          <w:numId w:val="9"/>
        </w:numPr>
        <w:jc w:val="both"/>
        <w:rPr>
          <w:sz w:val="20"/>
          <w:szCs w:val="20"/>
        </w:rPr>
      </w:pPr>
      <w:r w:rsidRPr="00C473F4">
        <w:rPr>
          <w:sz w:val="20"/>
          <w:szCs w:val="20"/>
        </w:rPr>
        <w:t>K repetitions are guaranteed.</w:t>
      </w:r>
    </w:p>
    <w:p w14:paraId="55BD4386" w14:textId="4B367444" w:rsidR="00C473F4" w:rsidRPr="00C473F4" w:rsidRDefault="00C473F4" w:rsidP="00C473F4">
      <w:pPr>
        <w:pStyle w:val="ListParagraph"/>
        <w:numPr>
          <w:ilvl w:val="0"/>
          <w:numId w:val="9"/>
        </w:numPr>
        <w:jc w:val="both"/>
        <w:rPr>
          <w:sz w:val="20"/>
          <w:szCs w:val="20"/>
        </w:rPr>
      </w:pPr>
      <w:r w:rsidRPr="00C473F4">
        <w:rPr>
          <w:sz w:val="20"/>
          <w:szCs w:val="20"/>
        </w:rPr>
        <w:t>Additional delay may occur if a packet transmission misses the transmission occasion.</w:t>
      </w:r>
    </w:p>
    <w:p w14:paraId="2615BBAD" w14:textId="7EC83ABB" w:rsidR="00385747" w:rsidRPr="00C473F4" w:rsidRDefault="00385747" w:rsidP="008B7EA8">
      <w:pPr>
        <w:jc w:val="both"/>
        <w:rPr>
          <w:b/>
          <w:bCs/>
          <w:sz w:val="16"/>
          <w:szCs w:val="16"/>
          <w:u w:val="single"/>
        </w:rPr>
      </w:pPr>
    </w:p>
    <w:p w14:paraId="35F3CA3F" w14:textId="1215BB8B" w:rsidR="00385747" w:rsidRDefault="00385747" w:rsidP="00385747">
      <w:pPr>
        <w:jc w:val="both"/>
        <w:rPr>
          <w:b/>
          <w:bCs/>
          <w:u w:val="single"/>
        </w:rPr>
      </w:pPr>
      <w:r>
        <w:rPr>
          <w:b/>
          <w:bCs/>
          <w:highlight w:val="yellow"/>
          <w:u w:val="single"/>
        </w:rPr>
        <w:t>Solution 2</w:t>
      </w:r>
      <w:r w:rsidRPr="00385747">
        <w:rPr>
          <w:b/>
          <w:bCs/>
          <w:highlight w:val="yellow"/>
          <w:u w:val="single"/>
        </w:rPr>
        <w:t>:</w:t>
      </w:r>
    </w:p>
    <w:p w14:paraId="66C88D26" w14:textId="09D40B30" w:rsidR="00C473F4" w:rsidRDefault="00C473F4" w:rsidP="00385747">
      <w:pPr>
        <w:jc w:val="both"/>
      </w:pPr>
      <w:r w:rsidRPr="00C473F4">
        <w:t>The initial transmissions can start at any given TTI, and be continued K times.</w:t>
      </w:r>
    </w:p>
    <w:p w14:paraId="26BDD89A" w14:textId="3AC6DCEB" w:rsidR="00C473F4" w:rsidRPr="00C473F4" w:rsidRDefault="00C473F4" w:rsidP="00C473F4">
      <w:pPr>
        <w:pStyle w:val="ListParagraph"/>
        <w:numPr>
          <w:ilvl w:val="0"/>
          <w:numId w:val="10"/>
        </w:numPr>
        <w:jc w:val="both"/>
        <w:rPr>
          <w:sz w:val="20"/>
          <w:szCs w:val="20"/>
        </w:rPr>
      </w:pPr>
      <w:r w:rsidRPr="00C473F4">
        <w:rPr>
          <w:sz w:val="20"/>
          <w:szCs w:val="20"/>
        </w:rPr>
        <w:t>K repetitions are guaranteed.</w:t>
      </w:r>
    </w:p>
    <w:p w14:paraId="7A15F5B7" w14:textId="0640B2AF" w:rsidR="00C473F4" w:rsidRPr="00C473F4" w:rsidRDefault="00C473F4" w:rsidP="00C473F4">
      <w:pPr>
        <w:pStyle w:val="ListParagraph"/>
        <w:numPr>
          <w:ilvl w:val="0"/>
          <w:numId w:val="10"/>
        </w:numPr>
        <w:jc w:val="both"/>
        <w:rPr>
          <w:sz w:val="20"/>
          <w:szCs w:val="20"/>
        </w:rPr>
      </w:pPr>
      <w:r w:rsidRPr="00C473F4">
        <w:rPr>
          <w:sz w:val="20"/>
          <w:szCs w:val="20"/>
        </w:rPr>
        <w:t>The scheduling delay is equal to the TTI alignment delay.</w:t>
      </w:r>
    </w:p>
    <w:p w14:paraId="62821A75" w14:textId="33427B70" w:rsidR="00385747" w:rsidRDefault="00385747" w:rsidP="008B7EA8">
      <w:pPr>
        <w:jc w:val="both"/>
        <w:rPr>
          <w:b/>
          <w:bCs/>
          <w:u w:val="single"/>
        </w:rPr>
      </w:pPr>
    </w:p>
    <w:p w14:paraId="3E282B25" w14:textId="212266A6" w:rsidR="00385747" w:rsidRDefault="00385747" w:rsidP="00385747">
      <w:pPr>
        <w:jc w:val="both"/>
        <w:rPr>
          <w:b/>
          <w:bCs/>
          <w:u w:val="single"/>
        </w:rPr>
      </w:pPr>
      <w:r>
        <w:rPr>
          <w:b/>
          <w:bCs/>
          <w:highlight w:val="yellow"/>
          <w:u w:val="single"/>
        </w:rPr>
        <w:t>Solution 3</w:t>
      </w:r>
      <w:r w:rsidRPr="00385747">
        <w:rPr>
          <w:b/>
          <w:bCs/>
          <w:highlight w:val="yellow"/>
          <w:u w:val="single"/>
        </w:rPr>
        <w:t>:</w:t>
      </w:r>
    </w:p>
    <w:p w14:paraId="3FC8BD94" w14:textId="371C4094" w:rsidR="00C473F4" w:rsidRDefault="00C473F4" w:rsidP="00385747">
      <w:pPr>
        <w:jc w:val="both"/>
      </w:pPr>
      <w:r w:rsidRPr="00C473F4">
        <w:t>Repetition windows are defined by a fixed periodicity of duration P. Within each periodicity window, a transmission occasion of size K is defined.</w:t>
      </w:r>
      <w:r>
        <w:t xml:space="preserve"> The repetitions can be started during any TTI within the transmission occasion window, and can only be continued until the end of the window.</w:t>
      </w:r>
    </w:p>
    <w:p w14:paraId="51E64D4C" w14:textId="78468252" w:rsidR="00C473F4" w:rsidRPr="00C473F4" w:rsidRDefault="00C473F4" w:rsidP="00C473F4">
      <w:pPr>
        <w:pStyle w:val="ListParagraph"/>
        <w:numPr>
          <w:ilvl w:val="0"/>
          <w:numId w:val="11"/>
        </w:numPr>
        <w:jc w:val="both"/>
        <w:rPr>
          <w:sz w:val="20"/>
          <w:szCs w:val="20"/>
        </w:rPr>
      </w:pPr>
      <w:r w:rsidRPr="00C473F4">
        <w:rPr>
          <w:sz w:val="20"/>
          <w:szCs w:val="20"/>
        </w:rPr>
        <w:t>K repetitions are not guaranteed.</w:t>
      </w:r>
    </w:p>
    <w:p w14:paraId="44028E55" w14:textId="0A72D534" w:rsidR="00C473F4" w:rsidRPr="00C473F4" w:rsidRDefault="00C473F4" w:rsidP="00C473F4">
      <w:pPr>
        <w:pStyle w:val="ListParagraph"/>
        <w:numPr>
          <w:ilvl w:val="0"/>
          <w:numId w:val="11"/>
        </w:numPr>
        <w:jc w:val="both"/>
        <w:rPr>
          <w:sz w:val="20"/>
          <w:szCs w:val="20"/>
        </w:rPr>
      </w:pPr>
      <w:r w:rsidRPr="00C473F4">
        <w:rPr>
          <w:sz w:val="20"/>
          <w:szCs w:val="20"/>
        </w:rPr>
        <w:t>If K = P, the incurred latency is the same as the second approach.</w:t>
      </w:r>
    </w:p>
    <w:p w14:paraId="18865952" w14:textId="25275319" w:rsidR="00385747" w:rsidRDefault="00385747" w:rsidP="008B7EA8">
      <w:pPr>
        <w:jc w:val="both"/>
        <w:rPr>
          <w:sz w:val="16"/>
          <w:szCs w:val="16"/>
        </w:rPr>
      </w:pPr>
    </w:p>
    <w:p w14:paraId="70AB9C54" w14:textId="6B25DFF2" w:rsidR="00C473F4" w:rsidRDefault="00C473F4" w:rsidP="008B7EA8">
      <w:pPr>
        <w:jc w:val="both"/>
        <w:rPr>
          <w:sz w:val="16"/>
          <w:szCs w:val="16"/>
        </w:rPr>
      </w:pPr>
    </w:p>
    <w:p w14:paraId="270D3AAE" w14:textId="252E172B" w:rsidR="00C473F4" w:rsidRPr="008108C1" w:rsidRDefault="00C473F4" w:rsidP="008B7EA8">
      <w:pPr>
        <w:jc w:val="both"/>
      </w:pPr>
      <w:r w:rsidRPr="008108C1">
        <w:t xml:space="preserve">Among the three solutions, only the second </w:t>
      </w:r>
      <w:r w:rsidR="005C3F5F">
        <w:t>can reduce</w:t>
      </w:r>
      <w:r w:rsidRPr="008108C1">
        <w:t xml:space="preserve"> the latency and </w:t>
      </w:r>
      <w:r w:rsidR="005C3F5F">
        <w:t>improve</w:t>
      </w:r>
      <w:r w:rsidRPr="008108C1">
        <w:t xml:space="preserve"> reliability simultaneously. The other two approaches either target at improving reliability (solution 1) or at reducing latency (solution 3). In addition, solution 3 does not guarantee K repetitions for each TB transmission. Based on the previous agreements, the adopted solution should satisfy this requirement.</w:t>
      </w:r>
      <w:r w:rsidR="00D96A40" w:rsidRPr="008108C1">
        <w:t xml:space="preserve"> </w:t>
      </w:r>
    </w:p>
    <w:p w14:paraId="28A482E1" w14:textId="6C6BCDDE" w:rsidR="00D96A40" w:rsidRPr="008108C1" w:rsidRDefault="00025294" w:rsidP="008B7EA8">
      <w:pPr>
        <w:jc w:val="both"/>
      </w:pPr>
      <w:r w:rsidRPr="008108C1">
        <w:t xml:space="preserve">Having said that, the implementation of the second approach calls for an eNB receiver design that is capable of testing multiple hypotheses at every given TTI. </w:t>
      </w:r>
      <w:r w:rsidR="005C3F5F">
        <w:t>To allow different eNB implementation to support UL URLLC, a reasonable approach could be</w:t>
      </w:r>
      <w:r w:rsidRPr="008108C1">
        <w:t xml:space="preserve"> to define multiple SPS configuration</w:t>
      </w:r>
      <w:r w:rsidR="005C3F5F">
        <w:t>s</w:t>
      </w:r>
      <w:r w:rsidRPr="008108C1">
        <w:t>, and allow the eNB to decide which/how many of them should be configured to strike a balance between its complexity considerations and the performance requirements of a given use case.</w:t>
      </w:r>
    </w:p>
    <w:p w14:paraId="2E0EE9E4" w14:textId="7E84E017" w:rsidR="00025294" w:rsidRPr="008108C1" w:rsidRDefault="00025294" w:rsidP="008B7EA8">
      <w:pPr>
        <w:jc w:val="both"/>
      </w:pPr>
      <w:r w:rsidRPr="008108C1">
        <w:t>The next section of this paper provides some more design details to achieve the aforementioned objective.</w:t>
      </w:r>
    </w:p>
    <w:p w14:paraId="31903064" w14:textId="50A67FD4" w:rsidR="00167A3F" w:rsidRDefault="00167A3F" w:rsidP="00167A3F">
      <w:pPr>
        <w:pStyle w:val="Heading1"/>
        <w:jc w:val="both"/>
      </w:pPr>
      <w:r w:rsidRPr="00CC27F5">
        <w:t>2</w:t>
      </w:r>
      <w:r w:rsidRPr="00CC27F5">
        <w:tab/>
      </w:r>
      <w:r w:rsidR="008E1F72">
        <w:t>UL URLLC with Multiple SPS Configurations</w:t>
      </w:r>
      <w:r>
        <w:t xml:space="preserve"> </w:t>
      </w:r>
    </w:p>
    <w:p w14:paraId="1E82BF16" w14:textId="6648DB05" w:rsidR="00D8389D" w:rsidRDefault="00074216" w:rsidP="00074216">
      <w:pPr>
        <w:jc w:val="both"/>
        <w:rPr>
          <w:lang w:val="en-GB"/>
        </w:rPr>
      </w:pPr>
      <w:r>
        <w:rPr>
          <w:lang w:val="en-GB"/>
        </w:rPr>
        <w:t>Ideally, solution 2 is the preferred approach as mentioned above, while solution 1 is simple and guarantees the K transmissions as per previous agreements. One way to trade-off eNB implementation complexity and latency/reliability is to allow eNB to co</w:t>
      </w:r>
      <w:r w:rsidR="008108C1">
        <w:rPr>
          <w:lang w:val="en-GB"/>
        </w:rPr>
        <w:t xml:space="preserve">nfigure multiple SPS configuration as in solution 1 with a given P and K, but </w:t>
      </w:r>
      <w:r>
        <w:rPr>
          <w:lang w:val="en-GB"/>
        </w:rPr>
        <w:t>different offse</w:t>
      </w:r>
      <w:r w:rsidR="008108C1">
        <w:rPr>
          <w:lang w:val="en-GB"/>
        </w:rPr>
        <w:t>ts as shown in the figure below.</w:t>
      </w:r>
    </w:p>
    <w:p w14:paraId="229C60D0" w14:textId="77777777" w:rsidR="008108C1" w:rsidRDefault="008108C1" w:rsidP="008108C1">
      <w:pPr>
        <w:keepNext/>
        <w:jc w:val="center"/>
      </w:pPr>
      <w:r w:rsidRPr="008108C1">
        <w:drawing>
          <wp:inline distT="0" distB="0" distL="0" distR="0" wp14:anchorId="5F52553C" wp14:editId="749CD688">
            <wp:extent cx="5156080" cy="2508505"/>
            <wp:effectExtent l="0" t="0" r="6985" b="6350"/>
            <wp:docPr id="7" name="Picture 6">
              <a:extLst xmlns:a="http://schemas.openxmlformats.org/drawingml/2006/main">
                <a:ext uri="{FF2B5EF4-FFF2-40B4-BE49-F238E27FC236}">
                  <a16:creationId xmlns:a16="http://schemas.microsoft.com/office/drawing/2014/main" id="{C93B36B4-1B43-424A-832E-DEF320BA4B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93B36B4-1B43-424A-832E-DEF320BA4BB2}"/>
                        </a:ext>
                      </a:extLst>
                    </pic:cNvPr>
                    <pic:cNvPicPr>
                      <a:picLocks noChangeAspect="1"/>
                    </pic:cNvPicPr>
                  </pic:nvPicPr>
                  <pic:blipFill>
                    <a:blip r:embed="rId13"/>
                    <a:stretch>
                      <a:fillRect/>
                    </a:stretch>
                  </pic:blipFill>
                  <pic:spPr>
                    <a:xfrm>
                      <a:off x="0" y="0"/>
                      <a:ext cx="5156080" cy="2508505"/>
                    </a:xfrm>
                    <a:prstGeom prst="rect">
                      <a:avLst/>
                    </a:prstGeom>
                  </pic:spPr>
                </pic:pic>
              </a:graphicData>
            </a:graphic>
          </wp:inline>
        </w:drawing>
      </w:r>
    </w:p>
    <w:p w14:paraId="14072CC8" w14:textId="3D5FE551" w:rsidR="008108C1" w:rsidRDefault="008108C1" w:rsidP="008108C1">
      <w:pPr>
        <w:pStyle w:val="Caption"/>
      </w:pPr>
      <w:r>
        <w:t xml:space="preserve">Figure </w:t>
      </w:r>
      <w:fldSimple w:instr=" SEQ Figure \* ARABIC ">
        <w:r w:rsidR="00BF48A5">
          <w:rPr>
            <w:noProof/>
          </w:rPr>
          <w:t>1</w:t>
        </w:r>
      </w:fldSimple>
      <w:r>
        <w:t>: Two SPS configuration for a UE with P = 4, K = 2 and offset of 1 TTI.</w:t>
      </w:r>
    </w:p>
    <w:p w14:paraId="4B3F9F99" w14:textId="29123884" w:rsidR="008108C1" w:rsidRPr="008108C1" w:rsidRDefault="008108C1" w:rsidP="008108C1">
      <w:pPr>
        <w:jc w:val="both"/>
        <w:rPr>
          <w:lang w:val="en-GB"/>
        </w:rPr>
      </w:pPr>
      <w:r>
        <w:rPr>
          <w:lang w:val="en-GB"/>
        </w:rPr>
        <w:t>As shown in the figure, two repetition-based SPS configurations are assumed for a given UE. This ensures that the repetitions can start at two occasions; if the transmission misses the first occasion under configurat</w:t>
      </w:r>
      <w:r w:rsidR="00BF48A5">
        <w:rPr>
          <w:lang w:val="en-GB"/>
        </w:rPr>
        <w:t>ion 0, it</w:t>
      </w:r>
      <w:r>
        <w:rPr>
          <w:lang w:val="en-GB"/>
        </w:rPr>
        <w:t xml:space="preserve"> can be sent over the first occasion using configuration 1. As a consequence, the latency is reduced. However, if the TB misses both occasions, it has to wait until the 2</w:t>
      </w:r>
      <w:r w:rsidRPr="008108C1">
        <w:rPr>
          <w:vertAlign w:val="superscript"/>
          <w:lang w:val="en-GB"/>
        </w:rPr>
        <w:t>nd</w:t>
      </w:r>
      <w:r>
        <w:rPr>
          <w:lang w:val="en-GB"/>
        </w:rPr>
        <w:t xml:space="preserve"> </w:t>
      </w:r>
      <w:r w:rsidR="00C946EC">
        <w:rPr>
          <w:lang w:val="en-GB"/>
        </w:rPr>
        <w:t>occasion of configuration 0. In return, the eNB implementation complexity is reduce</w:t>
      </w:r>
      <w:r w:rsidR="005C3F5F">
        <w:rPr>
          <w:lang w:val="en-GB"/>
        </w:rPr>
        <w:t>d</w:t>
      </w:r>
      <w:r w:rsidR="00C946EC">
        <w:rPr>
          <w:lang w:val="en-GB"/>
        </w:rPr>
        <w:t xml:space="preserve"> since </w:t>
      </w:r>
      <w:r w:rsidR="005C3F5F">
        <w:rPr>
          <w:lang w:val="en-GB"/>
        </w:rPr>
        <w:t>the eNB</w:t>
      </w:r>
      <w:r w:rsidR="00C946EC">
        <w:rPr>
          <w:lang w:val="en-GB"/>
        </w:rPr>
        <w:t xml:space="preserve"> needs to perform a smaller number of hypothesis testing </w:t>
      </w:r>
      <w:r w:rsidR="005C3F5F">
        <w:rPr>
          <w:lang w:val="en-GB"/>
        </w:rPr>
        <w:t xml:space="preserve">operations </w:t>
      </w:r>
      <w:r w:rsidR="00C946EC">
        <w:rPr>
          <w:lang w:val="en-GB"/>
        </w:rPr>
        <w:t>as compared to the scenario that solution 2 is adopted.</w:t>
      </w:r>
    </w:p>
    <w:p w14:paraId="6F2D87C8" w14:textId="319507F0" w:rsidR="00BF48A5" w:rsidRDefault="00BF48A5" w:rsidP="00BF48A5">
      <w:pPr>
        <w:jc w:val="both"/>
      </w:pPr>
      <w:r w:rsidRPr="00BF48A5">
        <w:t>In case the higher complexity is acceptable by the eNB, more configurations can be indicated to a UE. One example is shown in Figure 2.</w:t>
      </w:r>
      <w:r>
        <w:t xml:space="preserve"> In this example, four configurations are indicated to a UE. Each configuration by itself is an example of solution 1. However, when all four are configured, the UE can start the transmission at any TTI. This also satisfies the previous agreement that at least one configuration with the possibility of starting the repetition from any TTI is satisfied. </w:t>
      </w:r>
      <w:r w:rsidR="005C3F5F">
        <w:t>In addition, K repetitions are guaranteed.</w:t>
      </w:r>
    </w:p>
    <w:p w14:paraId="3D5E3F1B" w14:textId="0FE33A9A" w:rsidR="005C3F5F" w:rsidRDefault="005C3F5F" w:rsidP="00BF48A5">
      <w:pPr>
        <w:jc w:val="both"/>
      </w:pPr>
      <w:r>
        <w:t xml:space="preserve">Based on this approach, the eNB has the flexibility to choose P and K based on the traffic needs, and select the number of configurations to meet its acceptable level of detection complexity. </w:t>
      </w:r>
    </w:p>
    <w:p w14:paraId="1B4BE137" w14:textId="5B12CD5A" w:rsidR="005C3F5F" w:rsidRDefault="005C3F5F" w:rsidP="00BF48A5">
      <w:pPr>
        <w:jc w:val="both"/>
      </w:pPr>
    </w:p>
    <w:p w14:paraId="7B5CCA83" w14:textId="46C5AAF8" w:rsidR="005C3F5F" w:rsidRDefault="005C3F5F" w:rsidP="00BF48A5">
      <w:pPr>
        <w:jc w:val="both"/>
      </w:pPr>
    </w:p>
    <w:p w14:paraId="283CD226" w14:textId="7C06E918" w:rsidR="005C3F5F" w:rsidRDefault="005C3F5F" w:rsidP="00BF48A5">
      <w:pPr>
        <w:jc w:val="both"/>
      </w:pPr>
    </w:p>
    <w:p w14:paraId="302941D2" w14:textId="58320217" w:rsidR="005C3F5F" w:rsidRDefault="005C3F5F" w:rsidP="00BF48A5">
      <w:pPr>
        <w:jc w:val="both"/>
      </w:pPr>
    </w:p>
    <w:p w14:paraId="118703BA" w14:textId="77777777" w:rsidR="005C3F5F" w:rsidRPr="00BF48A5" w:rsidRDefault="005C3F5F" w:rsidP="00BF48A5">
      <w:pPr>
        <w:jc w:val="both"/>
      </w:pPr>
    </w:p>
    <w:p w14:paraId="5F1DACCD" w14:textId="0E846655" w:rsidR="00BF48A5" w:rsidRDefault="00BF48A5" w:rsidP="005C3F5F">
      <w:pPr>
        <w:jc w:val="both"/>
        <w:rPr>
          <w:b/>
          <w:bCs/>
        </w:rPr>
      </w:pPr>
      <w:r w:rsidRPr="0031712E">
        <w:rPr>
          <w:b/>
          <w:bCs/>
        </w:rPr>
        <w:t>Proposal 1: For repetition-based UL SPS in LTE-URLLC, a UE can be configured with one or more configurations. Each configuration comprises a fixed periodicity window of size P. Within each periodicity</w:t>
      </w:r>
      <w:r w:rsidR="005C3F5F">
        <w:rPr>
          <w:b/>
          <w:bCs/>
        </w:rPr>
        <w:t xml:space="preserve"> window</w:t>
      </w:r>
      <w:r w:rsidRPr="0031712E">
        <w:rPr>
          <w:b/>
          <w:bCs/>
        </w:rPr>
        <w:t xml:space="preserve">, a transmission occasion of size K is considered, where the occasion starts from the first TTI within the periodicity window. If more than one configuration is indicated to a UE, </w:t>
      </w:r>
      <w:r w:rsidR="0031712E" w:rsidRPr="0031712E">
        <w:rPr>
          <w:b/>
          <w:bCs/>
        </w:rPr>
        <w:t>the values of K and P are identical across all configurations. Further, the configurations are offset such that the starting position of transmission occasions across different configurations are not overlapping.</w:t>
      </w:r>
    </w:p>
    <w:p w14:paraId="74C48995" w14:textId="2DE1BAF7" w:rsidR="00BF48A5" w:rsidRDefault="00BF48A5" w:rsidP="008E1F72">
      <w:pPr>
        <w:jc w:val="both"/>
        <w:rPr>
          <w:b/>
          <w:bCs/>
        </w:rPr>
      </w:pPr>
    </w:p>
    <w:p w14:paraId="4FCE6DDA" w14:textId="77777777" w:rsidR="00BF48A5" w:rsidRDefault="00BF48A5" w:rsidP="00BF48A5">
      <w:pPr>
        <w:keepNext/>
        <w:jc w:val="center"/>
      </w:pPr>
      <w:r>
        <w:rPr>
          <w:noProof/>
        </w:rPr>
        <w:drawing>
          <wp:inline distT="0" distB="0" distL="0" distR="0" wp14:anchorId="56BE0A90" wp14:editId="4E437D19">
            <wp:extent cx="4499192" cy="2807497"/>
            <wp:effectExtent l="0" t="0" r="0" b="0"/>
            <wp:docPr id="6" name="Picture 5">
              <a:extLst xmlns:a="http://schemas.openxmlformats.org/drawingml/2006/main">
                <a:ext uri="{FF2B5EF4-FFF2-40B4-BE49-F238E27FC236}">
                  <a16:creationId xmlns:a16="http://schemas.microsoft.com/office/drawing/2014/main" id="{3C24F0DD-90A5-4B01-8C13-4FEA238CB9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C24F0DD-90A5-4B01-8C13-4FEA238CB971}"/>
                        </a:ext>
                      </a:extLst>
                    </pic:cNvPr>
                    <pic:cNvPicPr>
                      <a:picLocks noChangeAspect="1"/>
                    </pic:cNvPicPr>
                  </pic:nvPicPr>
                  <pic:blipFill>
                    <a:blip r:embed="rId14"/>
                    <a:stretch>
                      <a:fillRect/>
                    </a:stretch>
                  </pic:blipFill>
                  <pic:spPr>
                    <a:xfrm>
                      <a:off x="0" y="0"/>
                      <a:ext cx="4502248" cy="2809404"/>
                    </a:xfrm>
                    <a:prstGeom prst="rect">
                      <a:avLst/>
                    </a:prstGeom>
                  </pic:spPr>
                </pic:pic>
              </a:graphicData>
            </a:graphic>
          </wp:inline>
        </w:drawing>
      </w:r>
    </w:p>
    <w:p w14:paraId="71773962" w14:textId="2EE5785D" w:rsidR="00C946EC" w:rsidRDefault="00BF48A5" w:rsidP="00BF48A5">
      <w:pPr>
        <w:pStyle w:val="Caption"/>
        <w:rPr>
          <w:b w:val="0"/>
          <w:bCs w:val="0"/>
        </w:rPr>
      </w:pPr>
      <w:r>
        <w:t xml:space="preserve">Figure </w:t>
      </w:r>
      <w:fldSimple w:instr=" SEQ Figure \* ARABIC ">
        <w:r>
          <w:rPr>
            <w:noProof/>
          </w:rPr>
          <w:t>2</w:t>
        </w:r>
      </w:fldSimple>
      <w:r>
        <w:t>: Four</w:t>
      </w:r>
      <w:r w:rsidRPr="003C0FF4">
        <w:t xml:space="preserve"> SPS configuration</w:t>
      </w:r>
      <w:r w:rsidR="005C3F5F">
        <w:t>s</w:t>
      </w:r>
      <w:r w:rsidRPr="003C0FF4">
        <w:t xml:space="preserve"> for a UE with P = 4, K = 2 and offset of 1 TTI.</w:t>
      </w:r>
    </w:p>
    <w:p w14:paraId="044B6131" w14:textId="77777777" w:rsidR="00C946EC" w:rsidRPr="008E1F72" w:rsidRDefault="00C946EC" w:rsidP="008E1F72">
      <w:pPr>
        <w:jc w:val="both"/>
        <w:rPr>
          <w:b/>
          <w:bCs/>
        </w:rPr>
      </w:pPr>
    </w:p>
    <w:p w14:paraId="11A23341" w14:textId="141678B1" w:rsidR="00FB1BD5" w:rsidRDefault="00FB1BD5" w:rsidP="00FB1BD5">
      <w:pPr>
        <w:pStyle w:val="Heading1"/>
        <w:jc w:val="both"/>
      </w:pPr>
      <w:r>
        <w:t>3</w:t>
      </w:r>
      <w:r w:rsidRPr="00CC27F5">
        <w:tab/>
      </w:r>
      <w:r w:rsidR="00D83395">
        <w:t xml:space="preserve">Multiple </w:t>
      </w:r>
      <w:r w:rsidR="008E1F72">
        <w:t>TBS</w:t>
      </w:r>
      <w:r w:rsidR="00D83395">
        <w:t>s to Achieve Low Coding Rates</w:t>
      </w:r>
      <w:r>
        <w:t xml:space="preserve"> </w:t>
      </w:r>
    </w:p>
    <w:p w14:paraId="27DD921E" w14:textId="35760943" w:rsidR="00D83395" w:rsidRDefault="00D83395" w:rsidP="00D83395">
      <w:pPr>
        <w:jc w:val="both"/>
      </w:pPr>
      <w:r>
        <w:t>Currently, the lowest achievable coding rate in legacy LTE is about 0.1. In sTTI, since the number of resources and the TBS are both downscaled with the same factor, the minimum achievable coding rate remains the same. Hence, for reducing the coding rate, smaller TBS scaling factors as compared to the ones adopted for sTTI can be considered.</w:t>
      </w:r>
    </w:p>
    <w:p w14:paraId="7A3B3FD1" w14:textId="79022696" w:rsidR="00D83395" w:rsidRDefault="00D83395" w:rsidP="007E5B02">
      <w:pPr>
        <w:jc w:val="both"/>
      </w:pPr>
      <w:r>
        <w:t>As an example, two values for subslot TTI</w:t>
      </w:r>
      <w:r w:rsidR="007E5B02">
        <w:t xml:space="preserve"> with two data symbols</w:t>
      </w:r>
      <w:r>
        <w:t>, 1/6 a</w:t>
      </w:r>
      <w:r w:rsidR="007E5B02">
        <w:t>nd 1/12, and two values for sublot TTI with 1 data symbol, 1/12</w:t>
      </w:r>
      <w:r>
        <w:t xml:space="preserve"> and 1/</w:t>
      </w:r>
      <w:r w:rsidR="007E5B02">
        <w:t>2</w:t>
      </w:r>
      <w:r>
        <w:t xml:space="preserve">4, can be supported. </w:t>
      </w:r>
      <w:r w:rsidR="007E5B02">
        <w:t>One value can be indicated to the UE as part of the SPS configuration.</w:t>
      </w:r>
      <w:r w:rsidR="005C3F5F">
        <w:t xml:space="preserve"> Alternatively, the selected scaling factor could be implicitly indicated as a function of K.</w:t>
      </w:r>
    </w:p>
    <w:p w14:paraId="4B87377A" w14:textId="4574FBE9" w:rsidR="00FB1BD5" w:rsidRPr="0031712E" w:rsidRDefault="007E5B02" w:rsidP="00D83395">
      <w:pPr>
        <w:jc w:val="both"/>
        <w:rPr>
          <w:rFonts w:ascii="Arial" w:hAnsi="Arial"/>
          <w:b/>
          <w:bCs/>
          <w:sz w:val="36"/>
          <w:lang w:val="en-GB"/>
        </w:rPr>
      </w:pPr>
      <w:r>
        <w:rPr>
          <w:b/>
          <w:bCs/>
        </w:rPr>
        <w:t>Proposal 2</w:t>
      </w:r>
      <w:r w:rsidR="00D83395" w:rsidRPr="00484039">
        <w:rPr>
          <w:b/>
          <w:bCs/>
        </w:rPr>
        <w:t>: At least two TBS scaling factor</w:t>
      </w:r>
      <w:r w:rsidR="00D83395">
        <w:rPr>
          <w:b/>
          <w:bCs/>
        </w:rPr>
        <w:t>s</w:t>
      </w:r>
      <w:r w:rsidR="00D83395" w:rsidRPr="00484039">
        <w:rPr>
          <w:b/>
          <w:bCs/>
        </w:rPr>
        <w:t xml:space="preserve"> </w:t>
      </w:r>
      <w:r w:rsidR="005C3F5F">
        <w:rPr>
          <w:b/>
          <w:bCs/>
        </w:rPr>
        <w:t xml:space="preserve">per sTTI length </w:t>
      </w:r>
      <w:r w:rsidR="00D83395" w:rsidRPr="00484039">
        <w:rPr>
          <w:b/>
          <w:bCs/>
        </w:rPr>
        <w:t xml:space="preserve">can be considered for repetition-based </w:t>
      </w:r>
      <w:r>
        <w:rPr>
          <w:b/>
          <w:bCs/>
        </w:rPr>
        <w:t>UL SPS operation</w:t>
      </w:r>
      <w:r w:rsidR="00D83395">
        <w:rPr>
          <w:b/>
          <w:bCs/>
        </w:rPr>
        <w:t>.</w:t>
      </w:r>
    </w:p>
    <w:p w14:paraId="70FA50CB" w14:textId="6E679CB5" w:rsidR="003162B5" w:rsidRDefault="008E1F72" w:rsidP="003162B5">
      <w:pPr>
        <w:pStyle w:val="Heading1"/>
        <w:jc w:val="both"/>
      </w:pPr>
      <w:r>
        <w:t>4</w:t>
      </w:r>
      <w:r w:rsidR="003162B5" w:rsidRPr="00E05A22">
        <w:tab/>
      </w:r>
      <w:r w:rsidR="00DB4896">
        <w:t>Conclusions</w:t>
      </w:r>
      <w:r w:rsidR="003162B5" w:rsidRPr="00E05A22">
        <w:t xml:space="preserve"> </w:t>
      </w:r>
    </w:p>
    <w:p w14:paraId="0E1DC593" w14:textId="77777777" w:rsidR="005C3F5F" w:rsidRDefault="005C3F5F" w:rsidP="005C3F5F">
      <w:pPr>
        <w:jc w:val="both"/>
        <w:rPr>
          <w:b/>
          <w:bCs/>
        </w:rPr>
      </w:pPr>
      <w:r w:rsidRPr="0031712E">
        <w:rPr>
          <w:b/>
          <w:bCs/>
        </w:rPr>
        <w:t>Proposal 1: For repetition-based UL SPS in LTE-URLLC, a UE can be configured with one or more configurations. Each configuration comprises a fixed periodicity window of size P. Within each periodicity</w:t>
      </w:r>
      <w:r>
        <w:rPr>
          <w:b/>
          <w:bCs/>
        </w:rPr>
        <w:t xml:space="preserve"> window</w:t>
      </w:r>
      <w:r w:rsidRPr="0031712E">
        <w:rPr>
          <w:b/>
          <w:bCs/>
        </w:rPr>
        <w:t>, a transmission occasion of size K is considered, where the occasion starts from the first TTI within the periodicity window. If more than one configuration is indicated to a UE, the values of K and P are identical across all configurations. Further, the configurations are offset such that the starting position of transmission occasions across different configurations are not overlapping.</w:t>
      </w:r>
    </w:p>
    <w:p w14:paraId="67DAD5E6" w14:textId="16CD7DE0" w:rsidR="008E1F72" w:rsidRPr="005C3F5F" w:rsidRDefault="005C3F5F" w:rsidP="005C3F5F">
      <w:pPr>
        <w:jc w:val="both"/>
        <w:rPr>
          <w:rFonts w:ascii="Arial" w:hAnsi="Arial"/>
          <w:b/>
          <w:bCs/>
          <w:sz w:val="36"/>
          <w:lang w:val="en-GB"/>
        </w:rPr>
      </w:pPr>
      <w:r>
        <w:rPr>
          <w:b/>
          <w:bCs/>
        </w:rPr>
        <w:t>Proposal 2</w:t>
      </w:r>
      <w:r w:rsidRPr="00484039">
        <w:rPr>
          <w:b/>
          <w:bCs/>
        </w:rPr>
        <w:t>: At least two TBS scaling factor</w:t>
      </w:r>
      <w:r>
        <w:rPr>
          <w:b/>
          <w:bCs/>
        </w:rPr>
        <w:t>s</w:t>
      </w:r>
      <w:r w:rsidRPr="00484039">
        <w:rPr>
          <w:b/>
          <w:bCs/>
        </w:rPr>
        <w:t xml:space="preserve"> </w:t>
      </w:r>
      <w:r>
        <w:rPr>
          <w:b/>
          <w:bCs/>
        </w:rPr>
        <w:t xml:space="preserve">per sTTI length </w:t>
      </w:r>
      <w:r w:rsidRPr="00484039">
        <w:rPr>
          <w:b/>
          <w:bCs/>
        </w:rPr>
        <w:t xml:space="preserve">can be considered for repetition-based </w:t>
      </w:r>
      <w:r>
        <w:rPr>
          <w:b/>
          <w:bCs/>
        </w:rPr>
        <w:t>UL SPS operation.</w:t>
      </w:r>
      <w:bookmarkStart w:id="2" w:name="_GoBack"/>
      <w:bookmarkEnd w:id="2"/>
    </w:p>
    <w:sectPr w:rsidR="008E1F72" w:rsidRPr="005C3F5F"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4D4A" w14:textId="77777777" w:rsidR="005D7181" w:rsidRDefault="005D7181">
      <w:r>
        <w:separator/>
      </w:r>
    </w:p>
  </w:endnote>
  <w:endnote w:type="continuationSeparator" w:id="0">
    <w:p w14:paraId="20DE9FAD" w14:textId="77777777" w:rsidR="005D7181" w:rsidRDefault="005D7181">
      <w:r>
        <w:continuationSeparator/>
      </w:r>
    </w:p>
  </w:endnote>
  <w:endnote w:type="continuationNotice" w:id="1">
    <w:p w14:paraId="0099071C" w14:textId="77777777" w:rsidR="005D7181" w:rsidRDefault="005D7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E119D8A"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F5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F5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45C1D" w14:textId="77777777" w:rsidR="005D7181" w:rsidRDefault="005D7181">
      <w:r>
        <w:separator/>
      </w:r>
    </w:p>
  </w:footnote>
  <w:footnote w:type="continuationSeparator" w:id="0">
    <w:p w14:paraId="029D109C" w14:textId="77777777" w:rsidR="005D7181" w:rsidRDefault="005D7181">
      <w:r>
        <w:continuationSeparator/>
      </w:r>
    </w:p>
  </w:footnote>
  <w:footnote w:type="continuationNotice" w:id="1">
    <w:p w14:paraId="43A65EB9" w14:textId="77777777" w:rsidR="005D7181" w:rsidRDefault="005D7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17982"/>
    <w:multiLevelType w:val="hybridMultilevel"/>
    <w:tmpl w:val="81366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A0130"/>
    <w:multiLevelType w:val="hybridMultilevel"/>
    <w:tmpl w:val="6F64CFC2"/>
    <w:lvl w:ilvl="0" w:tplc="D18ED290">
      <w:start w:val="1"/>
      <w:numFmt w:val="bullet"/>
      <w:lvlText w:val="•"/>
      <w:lvlJc w:val="left"/>
      <w:pPr>
        <w:tabs>
          <w:tab w:val="num" w:pos="720"/>
        </w:tabs>
        <w:ind w:left="720" w:hanging="360"/>
      </w:pPr>
      <w:rPr>
        <w:rFonts w:ascii="Arial" w:hAnsi="Arial" w:cs="Times New Roman" w:hint="default"/>
      </w:rPr>
    </w:lvl>
    <w:lvl w:ilvl="1" w:tplc="5D1C7F6C">
      <w:numFmt w:val="bullet"/>
      <w:lvlText w:val="–"/>
      <w:lvlJc w:val="left"/>
      <w:pPr>
        <w:tabs>
          <w:tab w:val="num" w:pos="1440"/>
        </w:tabs>
        <w:ind w:left="1440" w:hanging="360"/>
      </w:pPr>
      <w:rPr>
        <w:rFonts w:ascii="Arial" w:hAnsi="Arial" w:cs="Times New Roman" w:hint="default"/>
      </w:rPr>
    </w:lvl>
    <w:lvl w:ilvl="2" w:tplc="F8FA3D94">
      <w:numFmt w:val="bullet"/>
      <w:lvlText w:val="•"/>
      <w:lvlJc w:val="left"/>
      <w:pPr>
        <w:tabs>
          <w:tab w:val="num" w:pos="2160"/>
        </w:tabs>
        <w:ind w:left="2160" w:hanging="360"/>
      </w:pPr>
      <w:rPr>
        <w:rFonts w:ascii="Arial" w:hAnsi="Arial" w:cs="Times New Roman" w:hint="default"/>
      </w:rPr>
    </w:lvl>
    <w:lvl w:ilvl="3" w:tplc="9FE6D376">
      <w:start w:val="1"/>
      <w:numFmt w:val="bullet"/>
      <w:lvlText w:val="•"/>
      <w:lvlJc w:val="left"/>
      <w:pPr>
        <w:tabs>
          <w:tab w:val="num" w:pos="2880"/>
        </w:tabs>
        <w:ind w:left="2880" w:hanging="360"/>
      </w:pPr>
      <w:rPr>
        <w:rFonts w:ascii="Arial" w:hAnsi="Arial" w:cs="Times New Roman" w:hint="default"/>
      </w:rPr>
    </w:lvl>
    <w:lvl w:ilvl="4" w:tplc="F4B8F0C8">
      <w:start w:val="1"/>
      <w:numFmt w:val="bullet"/>
      <w:lvlText w:val="•"/>
      <w:lvlJc w:val="left"/>
      <w:pPr>
        <w:tabs>
          <w:tab w:val="num" w:pos="3600"/>
        </w:tabs>
        <w:ind w:left="3600" w:hanging="360"/>
      </w:pPr>
      <w:rPr>
        <w:rFonts w:ascii="Arial" w:hAnsi="Arial" w:cs="Times New Roman" w:hint="default"/>
      </w:rPr>
    </w:lvl>
    <w:lvl w:ilvl="5" w:tplc="E5267C26">
      <w:start w:val="1"/>
      <w:numFmt w:val="bullet"/>
      <w:lvlText w:val="•"/>
      <w:lvlJc w:val="left"/>
      <w:pPr>
        <w:tabs>
          <w:tab w:val="num" w:pos="4320"/>
        </w:tabs>
        <w:ind w:left="4320" w:hanging="360"/>
      </w:pPr>
      <w:rPr>
        <w:rFonts w:ascii="Arial" w:hAnsi="Arial" w:cs="Times New Roman" w:hint="default"/>
      </w:rPr>
    </w:lvl>
    <w:lvl w:ilvl="6" w:tplc="31FCE530">
      <w:start w:val="1"/>
      <w:numFmt w:val="bullet"/>
      <w:lvlText w:val="•"/>
      <w:lvlJc w:val="left"/>
      <w:pPr>
        <w:tabs>
          <w:tab w:val="num" w:pos="5040"/>
        </w:tabs>
        <w:ind w:left="5040" w:hanging="360"/>
      </w:pPr>
      <w:rPr>
        <w:rFonts w:ascii="Arial" w:hAnsi="Arial" w:cs="Times New Roman" w:hint="default"/>
      </w:rPr>
    </w:lvl>
    <w:lvl w:ilvl="7" w:tplc="F210EA46">
      <w:start w:val="1"/>
      <w:numFmt w:val="bullet"/>
      <w:lvlText w:val="•"/>
      <w:lvlJc w:val="left"/>
      <w:pPr>
        <w:tabs>
          <w:tab w:val="num" w:pos="5760"/>
        </w:tabs>
        <w:ind w:left="5760" w:hanging="360"/>
      </w:pPr>
      <w:rPr>
        <w:rFonts w:ascii="Arial" w:hAnsi="Arial" w:cs="Times New Roman" w:hint="default"/>
      </w:rPr>
    </w:lvl>
    <w:lvl w:ilvl="8" w:tplc="FC80475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4A3B96"/>
    <w:multiLevelType w:val="hybridMultilevel"/>
    <w:tmpl w:val="3FEEF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465BF1"/>
    <w:multiLevelType w:val="hybridMultilevel"/>
    <w:tmpl w:val="100E2A0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03181"/>
    <w:multiLevelType w:val="hybridMultilevel"/>
    <w:tmpl w:val="D7CC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3C7E54"/>
    <w:multiLevelType w:val="hybridMultilevel"/>
    <w:tmpl w:val="4C4C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1080A83"/>
    <w:multiLevelType w:val="hybridMultilevel"/>
    <w:tmpl w:val="EDAA4616"/>
    <w:lvl w:ilvl="0" w:tplc="4CACCC82">
      <w:start w:val="1"/>
      <w:numFmt w:val="bullet"/>
      <w:lvlText w:val="•"/>
      <w:lvlJc w:val="left"/>
      <w:pPr>
        <w:tabs>
          <w:tab w:val="num" w:pos="648"/>
        </w:tabs>
        <w:ind w:left="648" w:hanging="360"/>
      </w:pPr>
      <w:rPr>
        <w:rFonts w:ascii="Arial" w:hAnsi="Arial" w:hint="default"/>
      </w:rPr>
    </w:lvl>
    <w:lvl w:ilvl="1" w:tplc="38C0958C">
      <w:numFmt w:val="bullet"/>
      <w:lvlText w:val="◦"/>
      <w:lvlJc w:val="left"/>
      <w:pPr>
        <w:tabs>
          <w:tab w:val="num" w:pos="1368"/>
        </w:tabs>
        <w:ind w:left="1368" w:hanging="360"/>
      </w:pPr>
      <w:rPr>
        <w:rFonts w:ascii="Microsoft Sans Serif" w:hAnsi="Microsoft Sans Serif" w:hint="default"/>
      </w:rPr>
    </w:lvl>
    <w:lvl w:ilvl="2" w:tplc="C1243252">
      <w:numFmt w:val="bullet"/>
      <w:lvlText w:val="•"/>
      <w:lvlJc w:val="left"/>
      <w:pPr>
        <w:tabs>
          <w:tab w:val="num" w:pos="2088"/>
        </w:tabs>
        <w:ind w:left="2088" w:hanging="360"/>
      </w:pPr>
      <w:rPr>
        <w:rFonts w:ascii="Microsoft Sans Serif" w:hAnsi="Microsoft Sans Serif" w:hint="default"/>
      </w:rPr>
    </w:lvl>
    <w:lvl w:ilvl="3" w:tplc="E19235EA">
      <w:numFmt w:val="bullet"/>
      <w:lvlText w:val="◦"/>
      <w:lvlJc w:val="left"/>
      <w:pPr>
        <w:tabs>
          <w:tab w:val="num" w:pos="2808"/>
        </w:tabs>
        <w:ind w:left="2808" w:hanging="360"/>
      </w:pPr>
      <w:rPr>
        <w:rFonts w:ascii="Microsoft Sans Serif" w:hAnsi="Microsoft Sans Serif" w:hint="default"/>
      </w:rPr>
    </w:lvl>
    <w:lvl w:ilvl="4" w:tplc="AE100F7E" w:tentative="1">
      <w:start w:val="1"/>
      <w:numFmt w:val="bullet"/>
      <w:lvlText w:val="•"/>
      <w:lvlJc w:val="left"/>
      <w:pPr>
        <w:tabs>
          <w:tab w:val="num" w:pos="3528"/>
        </w:tabs>
        <w:ind w:left="3528" w:hanging="360"/>
      </w:pPr>
      <w:rPr>
        <w:rFonts w:ascii="Arial" w:hAnsi="Arial" w:hint="default"/>
      </w:rPr>
    </w:lvl>
    <w:lvl w:ilvl="5" w:tplc="A522A72C" w:tentative="1">
      <w:start w:val="1"/>
      <w:numFmt w:val="bullet"/>
      <w:lvlText w:val="•"/>
      <w:lvlJc w:val="left"/>
      <w:pPr>
        <w:tabs>
          <w:tab w:val="num" w:pos="4248"/>
        </w:tabs>
        <w:ind w:left="4248" w:hanging="360"/>
      </w:pPr>
      <w:rPr>
        <w:rFonts w:ascii="Arial" w:hAnsi="Arial" w:hint="default"/>
      </w:rPr>
    </w:lvl>
    <w:lvl w:ilvl="6" w:tplc="C2AE1172" w:tentative="1">
      <w:start w:val="1"/>
      <w:numFmt w:val="bullet"/>
      <w:lvlText w:val="•"/>
      <w:lvlJc w:val="left"/>
      <w:pPr>
        <w:tabs>
          <w:tab w:val="num" w:pos="4968"/>
        </w:tabs>
        <w:ind w:left="4968" w:hanging="360"/>
      </w:pPr>
      <w:rPr>
        <w:rFonts w:ascii="Arial" w:hAnsi="Arial" w:hint="default"/>
      </w:rPr>
    </w:lvl>
    <w:lvl w:ilvl="7" w:tplc="9D4867BC" w:tentative="1">
      <w:start w:val="1"/>
      <w:numFmt w:val="bullet"/>
      <w:lvlText w:val="•"/>
      <w:lvlJc w:val="left"/>
      <w:pPr>
        <w:tabs>
          <w:tab w:val="num" w:pos="5688"/>
        </w:tabs>
        <w:ind w:left="5688" w:hanging="360"/>
      </w:pPr>
      <w:rPr>
        <w:rFonts w:ascii="Arial" w:hAnsi="Arial" w:hint="default"/>
      </w:rPr>
    </w:lvl>
    <w:lvl w:ilvl="8" w:tplc="29BA4382" w:tentative="1">
      <w:start w:val="1"/>
      <w:numFmt w:val="bullet"/>
      <w:lvlText w:val="•"/>
      <w:lvlJc w:val="left"/>
      <w:pPr>
        <w:tabs>
          <w:tab w:val="num" w:pos="6408"/>
        </w:tabs>
        <w:ind w:left="6408" w:hanging="360"/>
      </w:pPr>
      <w:rPr>
        <w:rFonts w:ascii="Arial" w:hAnsi="Arial" w:hint="default"/>
      </w:rPr>
    </w:lvl>
  </w:abstractNum>
  <w:num w:numId="1">
    <w:abstractNumId w:val="3"/>
  </w:num>
  <w:num w:numId="2">
    <w:abstractNumId w:val="1"/>
  </w:num>
  <w:num w:numId="3">
    <w:abstractNumId w:val="10"/>
  </w:num>
  <w:num w:numId="4">
    <w:abstractNumId w:val="5"/>
  </w:num>
  <w:num w:numId="5">
    <w:abstractNumId w:val="4"/>
  </w:num>
  <w:num w:numId="6">
    <w:abstractNumId w:val="2"/>
  </w:num>
  <w:num w:numId="7">
    <w:abstractNumId w:val="9"/>
  </w:num>
  <w:num w:numId="8">
    <w:abstractNumId w:val="7"/>
  </w:num>
  <w:num w:numId="9">
    <w:abstractNumId w:val="6"/>
  </w:num>
  <w:num w:numId="10">
    <w:abstractNumId w:val="0"/>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294"/>
    <w:rsid w:val="000254DC"/>
    <w:rsid w:val="000255A1"/>
    <w:rsid w:val="000259FF"/>
    <w:rsid w:val="00025C61"/>
    <w:rsid w:val="000266AE"/>
    <w:rsid w:val="00026905"/>
    <w:rsid w:val="0003002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5D13"/>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216"/>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6B35"/>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D77FE"/>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5C3"/>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DB4"/>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A3F"/>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6D3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5D8D"/>
    <w:rsid w:val="00196002"/>
    <w:rsid w:val="00196220"/>
    <w:rsid w:val="0019734F"/>
    <w:rsid w:val="00197741"/>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395"/>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33C"/>
    <w:rsid w:val="001D6EEB"/>
    <w:rsid w:val="001D6F30"/>
    <w:rsid w:val="001D7260"/>
    <w:rsid w:val="001D7816"/>
    <w:rsid w:val="001D784C"/>
    <w:rsid w:val="001D7B96"/>
    <w:rsid w:val="001D7F8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7BE"/>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ADF"/>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D7891"/>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1712E"/>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23B"/>
    <w:rsid w:val="00343E84"/>
    <w:rsid w:val="003444EB"/>
    <w:rsid w:val="00344778"/>
    <w:rsid w:val="00344F78"/>
    <w:rsid w:val="0034511B"/>
    <w:rsid w:val="00345740"/>
    <w:rsid w:val="003504EC"/>
    <w:rsid w:val="003509B5"/>
    <w:rsid w:val="00350EF6"/>
    <w:rsid w:val="00351118"/>
    <w:rsid w:val="00351CBC"/>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747"/>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6EF5"/>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52D"/>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291D"/>
    <w:rsid w:val="003F34A4"/>
    <w:rsid w:val="003F3978"/>
    <w:rsid w:val="003F3B26"/>
    <w:rsid w:val="003F44EC"/>
    <w:rsid w:val="003F4933"/>
    <w:rsid w:val="003F536B"/>
    <w:rsid w:val="003F586D"/>
    <w:rsid w:val="003F6853"/>
    <w:rsid w:val="003F6ADF"/>
    <w:rsid w:val="003F71D0"/>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2B4"/>
    <w:rsid w:val="00416A66"/>
    <w:rsid w:val="00417232"/>
    <w:rsid w:val="004179D9"/>
    <w:rsid w:val="004201DE"/>
    <w:rsid w:val="00420CB7"/>
    <w:rsid w:val="0042156E"/>
    <w:rsid w:val="0042221A"/>
    <w:rsid w:val="00422A10"/>
    <w:rsid w:val="00422F31"/>
    <w:rsid w:val="00423E2B"/>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D15"/>
    <w:rsid w:val="00477FF7"/>
    <w:rsid w:val="00480F17"/>
    <w:rsid w:val="004813F5"/>
    <w:rsid w:val="00481607"/>
    <w:rsid w:val="00483D11"/>
    <w:rsid w:val="00483D84"/>
    <w:rsid w:val="00484039"/>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C6E"/>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36C8E"/>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2D6C"/>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63E"/>
    <w:rsid w:val="005B67F6"/>
    <w:rsid w:val="005B7D8A"/>
    <w:rsid w:val="005C0904"/>
    <w:rsid w:val="005C09BF"/>
    <w:rsid w:val="005C0D61"/>
    <w:rsid w:val="005C0E62"/>
    <w:rsid w:val="005C1300"/>
    <w:rsid w:val="005C17D4"/>
    <w:rsid w:val="005C18B0"/>
    <w:rsid w:val="005C1B10"/>
    <w:rsid w:val="005C2EA8"/>
    <w:rsid w:val="005C3A28"/>
    <w:rsid w:val="005C3F5F"/>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181"/>
    <w:rsid w:val="005D7AA9"/>
    <w:rsid w:val="005E0010"/>
    <w:rsid w:val="005E0EAD"/>
    <w:rsid w:val="005E0EB3"/>
    <w:rsid w:val="005E1894"/>
    <w:rsid w:val="005E1F47"/>
    <w:rsid w:val="005E260D"/>
    <w:rsid w:val="005E2C31"/>
    <w:rsid w:val="005E35FD"/>
    <w:rsid w:val="005E383F"/>
    <w:rsid w:val="005E3F88"/>
    <w:rsid w:val="005E4319"/>
    <w:rsid w:val="005E4E38"/>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B1"/>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D45"/>
    <w:rsid w:val="00677E8D"/>
    <w:rsid w:val="00680A97"/>
    <w:rsid w:val="00680C3F"/>
    <w:rsid w:val="0068102D"/>
    <w:rsid w:val="0068112F"/>
    <w:rsid w:val="0068226B"/>
    <w:rsid w:val="00682D38"/>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247A"/>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7CB"/>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15F"/>
    <w:rsid w:val="00710815"/>
    <w:rsid w:val="00710994"/>
    <w:rsid w:val="00710D33"/>
    <w:rsid w:val="00710FF5"/>
    <w:rsid w:val="0071129C"/>
    <w:rsid w:val="00711450"/>
    <w:rsid w:val="007115BB"/>
    <w:rsid w:val="00711AE4"/>
    <w:rsid w:val="007128A8"/>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684"/>
    <w:rsid w:val="007347C0"/>
    <w:rsid w:val="0073511D"/>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5B02"/>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8C1"/>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1BD"/>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02D"/>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B7EA8"/>
    <w:rsid w:val="008C0743"/>
    <w:rsid w:val="008C084B"/>
    <w:rsid w:val="008C0B38"/>
    <w:rsid w:val="008C0DB5"/>
    <w:rsid w:val="008C1581"/>
    <w:rsid w:val="008C17CD"/>
    <w:rsid w:val="008C2453"/>
    <w:rsid w:val="008C2920"/>
    <w:rsid w:val="008C32F7"/>
    <w:rsid w:val="008C351A"/>
    <w:rsid w:val="008C436D"/>
    <w:rsid w:val="008C4853"/>
    <w:rsid w:val="008C48F2"/>
    <w:rsid w:val="008C5040"/>
    <w:rsid w:val="008C57D3"/>
    <w:rsid w:val="008C5BE7"/>
    <w:rsid w:val="008C74CC"/>
    <w:rsid w:val="008C7C3C"/>
    <w:rsid w:val="008C7F77"/>
    <w:rsid w:val="008D095D"/>
    <w:rsid w:val="008D0BD8"/>
    <w:rsid w:val="008D13DC"/>
    <w:rsid w:val="008D1D21"/>
    <w:rsid w:val="008D1E23"/>
    <w:rsid w:val="008D2461"/>
    <w:rsid w:val="008D25E5"/>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1F72"/>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6FCF"/>
    <w:rsid w:val="008E7167"/>
    <w:rsid w:val="008E757D"/>
    <w:rsid w:val="008E76F3"/>
    <w:rsid w:val="008E7A59"/>
    <w:rsid w:val="008E7FDA"/>
    <w:rsid w:val="008F01AB"/>
    <w:rsid w:val="008F191C"/>
    <w:rsid w:val="008F23C7"/>
    <w:rsid w:val="008F2A4E"/>
    <w:rsid w:val="008F3DC9"/>
    <w:rsid w:val="008F4107"/>
    <w:rsid w:val="008F4807"/>
    <w:rsid w:val="008F4BFE"/>
    <w:rsid w:val="008F4F27"/>
    <w:rsid w:val="008F5043"/>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5AE"/>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654"/>
    <w:rsid w:val="00930B4A"/>
    <w:rsid w:val="0093135E"/>
    <w:rsid w:val="00932410"/>
    <w:rsid w:val="009324B1"/>
    <w:rsid w:val="00932575"/>
    <w:rsid w:val="009325D4"/>
    <w:rsid w:val="009327B5"/>
    <w:rsid w:val="00932A88"/>
    <w:rsid w:val="009331E9"/>
    <w:rsid w:val="00933241"/>
    <w:rsid w:val="00933658"/>
    <w:rsid w:val="00933DE4"/>
    <w:rsid w:val="009353FF"/>
    <w:rsid w:val="00935B7C"/>
    <w:rsid w:val="00936242"/>
    <w:rsid w:val="009365EB"/>
    <w:rsid w:val="00936646"/>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29D2"/>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15D"/>
    <w:rsid w:val="00983223"/>
    <w:rsid w:val="00984206"/>
    <w:rsid w:val="0098511E"/>
    <w:rsid w:val="0098541D"/>
    <w:rsid w:val="00985C9A"/>
    <w:rsid w:val="009866CE"/>
    <w:rsid w:val="009879B5"/>
    <w:rsid w:val="00990732"/>
    <w:rsid w:val="00990C1F"/>
    <w:rsid w:val="00991820"/>
    <w:rsid w:val="00991C57"/>
    <w:rsid w:val="00991F39"/>
    <w:rsid w:val="009930C0"/>
    <w:rsid w:val="00993C98"/>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58B"/>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50"/>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5FD0"/>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DEC"/>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FF2"/>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1E20"/>
    <w:rsid w:val="00B426FE"/>
    <w:rsid w:val="00B4299D"/>
    <w:rsid w:val="00B42E0D"/>
    <w:rsid w:val="00B42F99"/>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3C28"/>
    <w:rsid w:val="00B74A0D"/>
    <w:rsid w:val="00B74FBD"/>
    <w:rsid w:val="00B75667"/>
    <w:rsid w:val="00B75780"/>
    <w:rsid w:val="00B75F6C"/>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91F"/>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03F"/>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8A5"/>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68A"/>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52C6"/>
    <w:rsid w:val="00C460CA"/>
    <w:rsid w:val="00C46896"/>
    <w:rsid w:val="00C473F4"/>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77B9A"/>
    <w:rsid w:val="00C80249"/>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6EC"/>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2BC"/>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9E6"/>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E0C"/>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30B"/>
    <w:rsid w:val="00D22D38"/>
    <w:rsid w:val="00D22EE4"/>
    <w:rsid w:val="00D231AF"/>
    <w:rsid w:val="00D23556"/>
    <w:rsid w:val="00D24DBB"/>
    <w:rsid w:val="00D25B79"/>
    <w:rsid w:val="00D26F41"/>
    <w:rsid w:val="00D270F2"/>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489C"/>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4C3"/>
    <w:rsid w:val="00D83395"/>
    <w:rsid w:val="00D83689"/>
    <w:rsid w:val="00D8389D"/>
    <w:rsid w:val="00D84268"/>
    <w:rsid w:val="00D84515"/>
    <w:rsid w:val="00D84824"/>
    <w:rsid w:val="00D84F73"/>
    <w:rsid w:val="00D8630C"/>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40"/>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956"/>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037"/>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27D4A"/>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A69"/>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3400"/>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56AD"/>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F87"/>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BD5"/>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030"/>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572959">
      <w:bodyDiv w:val="1"/>
      <w:marLeft w:val="0"/>
      <w:marRight w:val="0"/>
      <w:marTop w:val="0"/>
      <w:marBottom w:val="0"/>
      <w:divBdr>
        <w:top w:val="none" w:sz="0" w:space="0" w:color="auto"/>
        <w:left w:val="none" w:sz="0" w:space="0" w:color="auto"/>
        <w:bottom w:val="none" w:sz="0" w:space="0" w:color="auto"/>
        <w:right w:val="none" w:sz="0" w:space="0" w:color="auto"/>
      </w:divBdr>
      <w:divsChild>
        <w:div w:id="142167172">
          <w:marLeft w:val="274"/>
          <w:marRight w:val="0"/>
          <w:marTop w:val="240"/>
          <w:marBottom w:val="0"/>
          <w:divBdr>
            <w:top w:val="none" w:sz="0" w:space="0" w:color="auto"/>
            <w:left w:val="none" w:sz="0" w:space="0" w:color="auto"/>
            <w:bottom w:val="none" w:sz="0" w:space="0" w:color="auto"/>
            <w:right w:val="none" w:sz="0" w:space="0" w:color="auto"/>
          </w:divBdr>
        </w:div>
        <w:div w:id="998996211">
          <w:marLeft w:val="533"/>
          <w:marRight w:val="0"/>
          <w:marTop w:val="0"/>
          <w:marBottom w:val="0"/>
          <w:divBdr>
            <w:top w:val="none" w:sz="0" w:space="0" w:color="auto"/>
            <w:left w:val="none" w:sz="0" w:space="0" w:color="auto"/>
            <w:bottom w:val="none" w:sz="0" w:space="0" w:color="auto"/>
            <w:right w:val="none" w:sz="0" w:space="0" w:color="auto"/>
          </w:divBdr>
        </w:div>
        <w:div w:id="1489439070">
          <w:marLeft w:val="533"/>
          <w:marRight w:val="0"/>
          <w:marTop w:val="0"/>
          <w:marBottom w:val="0"/>
          <w:divBdr>
            <w:top w:val="none" w:sz="0" w:space="0" w:color="auto"/>
            <w:left w:val="none" w:sz="0" w:space="0" w:color="auto"/>
            <w:bottom w:val="none" w:sz="0" w:space="0" w:color="auto"/>
            <w:right w:val="none" w:sz="0" w:space="0" w:color="auto"/>
          </w:divBdr>
        </w:div>
        <w:div w:id="1129011437">
          <w:marLeft w:val="806"/>
          <w:marRight w:val="0"/>
          <w:marTop w:val="0"/>
          <w:marBottom w:val="0"/>
          <w:divBdr>
            <w:top w:val="none" w:sz="0" w:space="0" w:color="auto"/>
            <w:left w:val="none" w:sz="0" w:space="0" w:color="auto"/>
            <w:bottom w:val="none" w:sz="0" w:space="0" w:color="auto"/>
            <w:right w:val="none" w:sz="0" w:space="0" w:color="auto"/>
          </w:divBdr>
        </w:div>
        <w:div w:id="990905673">
          <w:marLeft w:val="1080"/>
          <w:marRight w:val="0"/>
          <w:marTop w:val="0"/>
          <w:marBottom w:val="0"/>
          <w:divBdr>
            <w:top w:val="none" w:sz="0" w:space="0" w:color="auto"/>
            <w:left w:val="none" w:sz="0" w:space="0" w:color="auto"/>
            <w:bottom w:val="none" w:sz="0" w:space="0" w:color="auto"/>
            <w:right w:val="none" w:sz="0" w:space="0" w:color="auto"/>
          </w:divBdr>
        </w:div>
        <w:div w:id="1211914073">
          <w:marLeft w:val="1080"/>
          <w:marRight w:val="0"/>
          <w:marTop w:val="0"/>
          <w:marBottom w:val="0"/>
          <w:divBdr>
            <w:top w:val="none" w:sz="0" w:space="0" w:color="auto"/>
            <w:left w:val="none" w:sz="0" w:space="0" w:color="auto"/>
            <w:bottom w:val="none" w:sz="0" w:space="0" w:color="auto"/>
            <w:right w:val="none" w:sz="0" w:space="0" w:color="auto"/>
          </w:divBdr>
        </w:div>
        <w:div w:id="1759787061">
          <w:marLeft w:val="1080"/>
          <w:marRight w:val="0"/>
          <w:marTop w:val="0"/>
          <w:marBottom w:val="0"/>
          <w:divBdr>
            <w:top w:val="none" w:sz="0" w:space="0" w:color="auto"/>
            <w:left w:val="none" w:sz="0" w:space="0" w:color="auto"/>
            <w:bottom w:val="none" w:sz="0" w:space="0" w:color="auto"/>
            <w:right w:val="none" w:sz="0" w:space="0" w:color="auto"/>
          </w:divBdr>
        </w:div>
        <w:div w:id="1708525772">
          <w:marLeft w:val="1080"/>
          <w:marRight w:val="0"/>
          <w:marTop w:val="0"/>
          <w:marBottom w:val="0"/>
          <w:divBdr>
            <w:top w:val="none" w:sz="0" w:space="0" w:color="auto"/>
            <w:left w:val="none" w:sz="0" w:space="0" w:color="auto"/>
            <w:bottom w:val="none" w:sz="0" w:space="0" w:color="auto"/>
            <w:right w:val="none" w:sz="0" w:space="0" w:color="auto"/>
          </w:divBdr>
        </w:div>
        <w:div w:id="1530608496">
          <w:marLeft w:val="806"/>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3506600">
      <w:bodyDiv w:val="1"/>
      <w:marLeft w:val="0"/>
      <w:marRight w:val="0"/>
      <w:marTop w:val="0"/>
      <w:marBottom w:val="0"/>
      <w:divBdr>
        <w:top w:val="none" w:sz="0" w:space="0" w:color="auto"/>
        <w:left w:val="none" w:sz="0" w:space="0" w:color="auto"/>
        <w:bottom w:val="none" w:sz="0" w:space="0" w:color="auto"/>
        <w:right w:val="none" w:sz="0" w:space="0" w:color="auto"/>
      </w:divBdr>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E7DF918-B0A7-45BA-ADF0-2446DE45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9</cp:revision>
  <cp:lastPrinted>2010-10-04T23:31:00Z</cp:lastPrinted>
  <dcterms:created xsi:type="dcterms:W3CDTF">2018-05-11T21:16:00Z</dcterms:created>
  <dcterms:modified xsi:type="dcterms:W3CDTF">2018-05-11T23:55:00Z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